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CB" w:rsidRPr="00BF12D6" w:rsidRDefault="000A2709" w:rsidP="006B71A9">
      <w:pPr>
        <w:pStyle w:val="Caption"/>
        <w:jc w:val="left"/>
        <w:rPr>
          <w:rFonts w:ascii="Century Gothic" w:hAnsi="Century Gothic" w:cs="Arial"/>
          <w:sz w:val="38"/>
        </w:rPr>
      </w:pPr>
      <w:bookmarkStart w:id="0" w:name="_GoBack"/>
      <w:bookmarkEnd w:id="0"/>
      <w:r w:rsidRPr="00BF12D6">
        <w:rPr>
          <w:rFonts w:ascii="Century Gothic" w:hAnsi="Century Gothic" w:cs="Arial"/>
          <w:noProof/>
          <w:sz w:val="20"/>
        </w:rPr>
        <w:drawing>
          <wp:anchor distT="0" distB="0" distL="114300" distR="114300" simplePos="0" relativeHeight="251657728" behindDoc="0" locked="0" layoutInCell="1" allowOverlap="0" wp14:anchorId="7352A119" wp14:editId="43FB1E8A">
            <wp:simplePos x="0" y="0"/>
            <wp:positionH relativeFrom="column">
              <wp:posOffset>2409825</wp:posOffset>
            </wp:positionH>
            <wp:positionV relativeFrom="paragraph">
              <wp:posOffset>-416848</wp:posOffset>
            </wp:positionV>
            <wp:extent cx="1028700" cy="914400"/>
            <wp:effectExtent l="19050" t="0" r="0" b="0"/>
            <wp:wrapNone/>
            <wp:docPr id="2" name="Picture 2" descr="D:\My Documents\Public Service Week\Coat of Ar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Public Service Week\Coat of Arms.gif"/>
                    <pic:cNvPicPr>
                      <a:picLocks noChangeAspect="1" noChangeArrowheads="1"/>
                    </pic:cNvPicPr>
                  </pic:nvPicPr>
                  <pic:blipFill>
                    <a:blip r:embed="rId9" r:link="rId10" cstate="print"/>
                    <a:srcRect/>
                    <a:stretch>
                      <a:fillRect/>
                    </a:stretch>
                  </pic:blipFill>
                  <pic:spPr bwMode="auto">
                    <a:xfrm>
                      <a:off x="0" y="0"/>
                      <a:ext cx="1028700" cy="914400"/>
                    </a:xfrm>
                    <a:prstGeom prst="rect">
                      <a:avLst/>
                    </a:prstGeom>
                    <a:noFill/>
                    <a:ln w="9525">
                      <a:noFill/>
                      <a:miter lim="800000"/>
                      <a:headEnd/>
                      <a:tailEnd/>
                    </a:ln>
                  </pic:spPr>
                </pic:pic>
              </a:graphicData>
            </a:graphic>
          </wp:anchor>
        </w:drawing>
      </w:r>
    </w:p>
    <w:p w:rsidR="001277CB" w:rsidRPr="00BF12D6" w:rsidRDefault="001277CB" w:rsidP="001277CB">
      <w:pPr>
        <w:pStyle w:val="Caption"/>
        <w:rPr>
          <w:rFonts w:ascii="Century Gothic" w:hAnsi="Century Gothic" w:cs="Arial"/>
          <w:sz w:val="38"/>
        </w:rPr>
      </w:pPr>
    </w:p>
    <w:p w:rsidR="006B46A4" w:rsidRPr="00DC6090" w:rsidRDefault="001277CB" w:rsidP="006B46A4">
      <w:pPr>
        <w:pStyle w:val="BodyText"/>
        <w:jc w:val="center"/>
        <w:rPr>
          <w:rFonts w:ascii="Century Gothic" w:hAnsi="Century Gothic" w:cs="Arial"/>
          <w:b/>
          <w:bCs/>
          <w:sz w:val="18"/>
          <w:szCs w:val="18"/>
        </w:rPr>
      </w:pPr>
      <w:r w:rsidRPr="00BF12D6">
        <w:rPr>
          <w:rFonts w:ascii="Century Gothic" w:hAnsi="Century Gothic" w:cs="Arial"/>
          <w:color w:val="FF0000"/>
          <w:sz w:val="32"/>
        </w:rPr>
        <w:t xml:space="preserve"> </w:t>
      </w:r>
      <w:r w:rsidR="006B46A4" w:rsidRPr="00DC6090">
        <w:rPr>
          <w:rFonts w:ascii="Century Gothic" w:hAnsi="Century Gothic" w:cs="Arial"/>
          <w:b/>
          <w:bCs/>
          <w:sz w:val="18"/>
          <w:szCs w:val="18"/>
        </w:rPr>
        <w:t>Government of the Republic of Trinidad and Tobago</w:t>
      </w:r>
    </w:p>
    <w:p w:rsidR="006B46A4" w:rsidRPr="005D6F7B" w:rsidRDefault="006B46A4" w:rsidP="006B46A4">
      <w:pPr>
        <w:pStyle w:val="BodyText"/>
        <w:rPr>
          <w:rFonts w:ascii="Century Gothic" w:hAnsi="Century Gothic" w:cs="Arial"/>
          <w:sz w:val="30"/>
          <w:szCs w:val="30"/>
        </w:rPr>
      </w:pPr>
    </w:p>
    <w:p w:rsidR="001277CB" w:rsidRPr="00827288" w:rsidRDefault="00ED4AD8" w:rsidP="001277CB">
      <w:pPr>
        <w:pStyle w:val="Caption"/>
        <w:jc w:val="center"/>
        <w:rPr>
          <w:rFonts w:ascii="Century Gothic" w:hAnsi="Century Gothic" w:cs="Arial"/>
        </w:rPr>
      </w:pPr>
      <w:r w:rsidRPr="00827288">
        <w:rPr>
          <w:rFonts w:ascii="Century Gothic" w:hAnsi="Century Gothic" w:cs="Arial"/>
        </w:rPr>
        <w:t xml:space="preserve">Ministry of Finance and the Economy </w:t>
      </w:r>
    </w:p>
    <w:p w:rsidR="005D6F7B" w:rsidRPr="00827288" w:rsidRDefault="005D6F7B" w:rsidP="006B46A4">
      <w:pPr>
        <w:jc w:val="center"/>
        <w:rPr>
          <w:rFonts w:ascii="Century Gothic" w:hAnsi="Century Gothic" w:cs="Arial"/>
          <w:b/>
        </w:rPr>
      </w:pPr>
    </w:p>
    <w:p w:rsidR="009C0F34" w:rsidRPr="00827288" w:rsidRDefault="006B46A4" w:rsidP="006B46A4">
      <w:pPr>
        <w:jc w:val="center"/>
        <w:rPr>
          <w:rFonts w:ascii="Century Gothic" w:hAnsi="Century Gothic" w:cs="Arial"/>
          <w:b/>
        </w:rPr>
      </w:pPr>
      <w:r w:rsidRPr="00827288">
        <w:rPr>
          <w:rFonts w:ascii="Century Gothic" w:hAnsi="Century Gothic" w:cs="Arial"/>
          <w:b/>
        </w:rPr>
        <w:t>Communications Unit</w:t>
      </w:r>
    </w:p>
    <w:p w:rsidR="009C0F34" w:rsidRPr="00827288" w:rsidRDefault="009C0F34" w:rsidP="009C0F34">
      <w:pPr>
        <w:rPr>
          <w:rFonts w:ascii="Century Gothic" w:hAnsi="Century Gothic" w:cs="Arial"/>
        </w:rPr>
      </w:pPr>
    </w:p>
    <w:p w:rsidR="00164455" w:rsidRDefault="00BA3172" w:rsidP="00A844BB">
      <w:pPr>
        <w:jc w:val="center"/>
        <w:rPr>
          <w:rFonts w:ascii="Century Gothic" w:hAnsi="Century Gothic" w:cs="Arial"/>
          <w:b/>
          <w:u w:val="single"/>
        </w:rPr>
      </w:pPr>
      <w:r w:rsidRPr="00827288">
        <w:rPr>
          <w:rFonts w:ascii="Century Gothic" w:hAnsi="Century Gothic" w:cs="Arial"/>
          <w:b/>
          <w:u w:val="single"/>
        </w:rPr>
        <w:t>Media Release</w:t>
      </w:r>
    </w:p>
    <w:p w:rsidR="00770926" w:rsidRPr="00827288" w:rsidRDefault="00770926" w:rsidP="00770926">
      <w:pPr>
        <w:rPr>
          <w:rFonts w:ascii="Century Gothic" w:hAnsi="Century Gothic" w:cs="Arial"/>
          <w:b/>
          <w:u w:val="single"/>
        </w:rPr>
      </w:pPr>
    </w:p>
    <w:p w:rsidR="008061F9" w:rsidRPr="008061F9" w:rsidRDefault="008061F9" w:rsidP="008061F9">
      <w:pPr>
        <w:ind w:left="2880"/>
        <w:rPr>
          <w:rFonts w:asciiTheme="minorHAnsi" w:hAnsiTheme="minorHAnsi" w:cstheme="minorHAnsi"/>
          <w:b/>
          <w:sz w:val="28"/>
          <w:szCs w:val="28"/>
        </w:rPr>
      </w:pPr>
      <w:r>
        <w:rPr>
          <w:rFonts w:asciiTheme="minorHAnsi" w:hAnsiTheme="minorHAnsi" w:cstheme="minorHAnsi"/>
          <w:b/>
          <w:sz w:val="28"/>
          <w:szCs w:val="28"/>
        </w:rPr>
        <w:t xml:space="preserve">    Private Members Club (PMC)</w:t>
      </w:r>
    </w:p>
    <w:p w:rsidR="008061F9" w:rsidRDefault="008061F9" w:rsidP="001D5F0D">
      <w:pPr>
        <w:spacing w:line="276" w:lineRule="auto"/>
        <w:rPr>
          <w:rFonts w:asciiTheme="minorHAnsi" w:hAnsiTheme="minorHAnsi" w:cstheme="minorHAnsi"/>
        </w:rPr>
      </w:pPr>
    </w:p>
    <w:p w:rsidR="001779D7" w:rsidRDefault="008061F9" w:rsidP="001D5F0D">
      <w:pPr>
        <w:spacing w:line="276" w:lineRule="auto"/>
        <w:rPr>
          <w:rFonts w:asciiTheme="minorHAnsi" w:hAnsiTheme="minorHAnsi" w:cstheme="minorHAnsi"/>
        </w:rPr>
      </w:pPr>
      <w:r>
        <w:rPr>
          <w:rFonts w:asciiTheme="minorHAnsi" w:hAnsiTheme="minorHAnsi" w:cstheme="minorHAnsi"/>
        </w:rPr>
        <w:t>13</w:t>
      </w:r>
      <w:r w:rsidRPr="008061F9">
        <w:rPr>
          <w:rFonts w:asciiTheme="minorHAnsi" w:hAnsiTheme="minorHAnsi" w:cstheme="minorHAnsi"/>
          <w:vertAlign w:val="superscript"/>
        </w:rPr>
        <w:t>th</w:t>
      </w:r>
      <w:r>
        <w:rPr>
          <w:rFonts w:asciiTheme="minorHAnsi" w:hAnsiTheme="minorHAnsi" w:cstheme="minorHAnsi"/>
        </w:rPr>
        <w:t xml:space="preserve"> August,</w:t>
      </w:r>
      <w:r w:rsidR="00FD06E7">
        <w:rPr>
          <w:rFonts w:asciiTheme="minorHAnsi" w:hAnsiTheme="minorHAnsi" w:cstheme="minorHAnsi"/>
        </w:rPr>
        <w:t xml:space="preserve"> 2013 </w:t>
      </w:r>
    </w:p>
    <w:p w:rsidR="00FD06E7" w:rsidRDefault="00FD06E7" w:rsidP="001D5F0D">
      <w:pPr>
        <w:spacing w:line="276" w:lineRule="auto"/>
        <w:rPr>
          <w:rFonts w:asciiTheme="minorHAnsi" w:hAnsiTheme="minorHAnsi" w:cstheme="minorHAnsi"/>
        </w:rPr>
      </w:pPr>
    </w:p>
    <w:p w:rsidR="00A17589" w:rsidRPr="00A17589" w:rsidRDefault="00A17589" w:rsidP="00A17589">
      <w:pPr>
        <w:spacing w:line="360" w:lineRule="auto"/>
        <w:jc w:val="both"/>
        <w:rPr>
          <w:rFonts w:asciiTheme="minorHAnsi" w:hAnsiTheme="minorHAnsi" w:cstheme="minorHAnsi"/>
        </w:rPr>
      </w:pPr>
      <w:r w:rsidRPr="00A17589">
        <w:rPr>
          <w:rFonts w:asciiTheme="minorHAnsi" w:hAnsiTheme="minorHAnsi" w:cstheme="minorHAnsi"/>
        </w:rPr>
        <w:t>In the 2013 Budget Presentation, specific mention was made of measures that are to be put into place to govern the local gaming industry, with</w:t>
      </w:r>
      <w:r>
        <w:rPr>
          <w:rFonts w:asciiTheme="minorHAnsi" w:hAnsiTheme="minorHAnsi" w:cstheme="minorHAnsi"/>
        </w:rPr>
        <w:t xml:space="preserve"> </w:t>
      </w:r>
      <w:r w:rsidRPr="00A17589">
        <w:rPr>
          <w:rFonts w:asciiTheme="minorHAnsi" w:hAnsiTheme="minorHAnsi" w:cstheme="minorHAnsi"/>
        </w:rPr>
        <w:t>specific reference to the longer term objective of introducing a comprehensive framework for the governance of the industry.</w:t>
      </w:r>
    </w:p>
    <w:p w:rsidR="00A17589" w:rsidRPr="00A17589" w:rsidRDefault="00A17589" w:rsidP="00A17589">
      <w:pPr>
        <w:spacing w:line="360" w:lineRule="auto"/>
        <w:jc w:val="both"/>
        <w:rPr>
          <w:rFonts w:asciiTheme="minorHAnsi" w:hAnsiTheme="minorHAnsi" w:cstheme="minorHAnsi"/>
        </w:rPr>
      </w:pPr>
      <w:r w:rsidRPr="00A17589">
        <w:rPr>
          <w:rFonts w:asciiTheme="minorHAnsi" w:hAnsiTheme="minorHAnsi" w:cstheme="minorHAnsi"/>
        </w:rPr>
        <w:t xml:space="preserve">Over the years Private Members’ Clubs have been engaging in Casino type activities and according to the international regulatory body, the Financial Action Task Force (FATF), which continues to monitor the local industry, by 2009 the sector consisted of close to 70 operational Private Members’ Clubs. </w:t>
      </w:r>
    </w:p>
    <w:p w:rsidR="00A17589" w:rsidRPr="00A17589" w:rsidRDefault="00A17589" w:rsidP="00A17589">
      <w:pPr>
        <w:spacing w:line="360" w:lineRule="auto"/>
        <w:jc w:val="both"/>
        <w:rPr>
          <w:rFonts w:asciiTheme="minorHAnsi" w:hAnsiTheme="minorHAnsi" w:cstheme="minorHAnsi"/>
        </w:rPr>
      </w:pPr>
      <w:r w:rsidRPr="00A17589">
        <w:rPr>
          <w:rFonts w:asciiTheme="minorHAnsi" w:hAnsiTheme="minorHAnsi" w:cstheme="minorHAnsi"/>
        </w:rPr>
        <w:t xml:space="preserve">To ensure that our regulatory environment meets with international standards and to avoid Trinidad and Tobago’s regulatory compliance reputation not being impaired, immediate efforts have to be undertaken to complement the </w:t>
      </w:r>
      <w:r>
        <w:rPr>
          <w:rFonts w:asciiTheme="minorHAnsi" w:hAnsiTheme="minorHAnsi" w:cstheme="minorHAnsi"/>
        </w:rPr>
        <w:t xml:space="preserve">role </w:t>
      </w:r>
      <w:r w:rsidRPr="00A17589">
        <w:rPr>
          <w:rFonts w:asciiTheme="minorHAnsi" w:hAnsiTheme="minorHAnsi" w:cstheme="minorHAnsi"/>
        </w:rPr>
        <w:t>of the Financial Intelligence Unit in implementing a comprehensive regulatory framework.</w:t>
      </w:r>
    </w:p>
    <w:p w:rsidR="00A17589" w:rsidRPr="00A17589" w:rsidRDefault="00A17589" w:rsidP="00A17589">
      <w:pPr>
        <w:spacing w:line="360" w:lineRule="auto"/>
        <w:jc w:val="both"/>
        <w:rPr>
          <w:rFonts w:asciiTheme="minorHAnsi" w:eastAsia="Calibri" w:hAnsiTheme="minorHAnsi" w:cstheme="minorHAnsi"/>
        </w:rPr>
      </w:pPr>
      <w:r w:rsidRPr="00A17589">
        <w:rPr>
          <w:rFonts w:asciiTheme="minorHAnsi" w:hAnsiTheme="minorHAnsi" w:cstheme="minorHAnsi"/>
        </w:rPr>
        <w:t>I</w:t>
      </w:r>
      <w:r w:rsidRPr="00A17589">
        <w:rPr>
          <w:rFonts w:asciiTheme="minorHAnsi" w:eastAsia="Calibri" w:hAnsiTheme="minorHAnsi" w:cstheme="minorHAnsi"/>
        </w:rPr>
        <w:t xml:space="preserve">n keeping with Anti-Money Laundering/ Counter Terrorist Financing requirements (AML/CTF), the Government of the Republic of Trinidad and Tobago has been working assiduously to establish  a framework to address the regulatory and social concerns arising from the proliferation of </w:t>
      </w:r>
      <w:r w:rsidRPr="00A17589">
        <w:rPr>
          <w:rFonts w:asciiTheme="minorHAnsi" w:hAnsiTheme="minorHAnsi" w:cstheme="minorHAnsi"/>
        </w:rPr>
        <w:t xml:space="preserve">Private Members’ Clubs’ </w:t>
      </w:r>
      <w:r w:rsidRPr="00A17589">
        <w:rPr>
          <w:rFonts w:asciiTheme="minorHAnsi" w:eastAsia="Calibri" w:hAnsiTheme="minorHAnsi" w:cstheme="minorHAnsi"/>
        </w:rPr>
        <w:t xml:space="preserve">provision of casino style games to club members. </w:t>
      </w:r>
    </w:p>
    <w:p w:rsidR="00A17589" w:rsidRPr="00A17589" w:rsidRDefault="00A17589" w:rsidP="00A17589">
      <w:pPr>
        <w:spacing w:line="360" w:lineRule="auto"/>
        <w:jc w:val="both"/>
        <w:rPr>
          <w:rFonts w:asciiTheme="minorHAnsi" w:eastAsia="Calibri" w:hAnsiTheme="minorHAnsi" w:cstheme="minorHAnsi"/>
        </w:rPr>
      </w:pPr>
      <w:r w:rsidRPr="00A17589">
        <w:rPr>
          <w:rFonts w:asciiTheme="minorHAnsi" w:eastAsia="Calibri" w:hAnsiTheme="minorHAnsi" w:cstheme="minorHAnsi"/>
        </w:rPr>
        <w:t xml:space="preserve">A new comprehensive legislative framework will be put in place that promotes responsible gambling and protects the vulnerable. The Ministry also understands that apart from the </w:t>
      </w:r>
      <w:r w:rsidRPr="00A17589">
        <w:rPr>
          <w:rFonts w:asciiTheme="minorHAnsi" w:hAnsiTheme="minorHAnsi" w:cstheme="minorHAnsi"/>
        </w:rPr>
        <w:lastRenderedPageBreak/>
        <w:t xml:space="preserve">Private Members’ Clubs’ devices, </w:t>
      </w:r>
      <w:r w:rsidRPr="00A17589">
        <w:rPr>
          <w:rFonts w:asciiTheme="minorHAnsi" w:eastAsia="Calibri" w:hAnsiTheme="minorHAnsi" w:cstheme="minorHAnsi"/>
        </w:rPr>
        <w:t xml:space="preserve">there may exist in excess of 25,000 Video games and devices operating in bars and recreational pubs across the country. </w:t>
      </w:r>
    </w:p>
    <w:p w:rsidR="00A17589" w:rsidRPr="00A17589" w:rsidRDefault="00A17589" w:rsidP="00A17589">
      <w:pPr>
        <w:spacing w:line="360" w:lineRule="auto"/>
        <w:jc w:val="both"/>
        <w:rPr>
          <w:rFonts w:asciiTheme="minorHAnsi" w:hAnsiTheme="minorHAnsi" w:cstheme="minorHAnsi"/>
        </w:rPr>
      </w:pPr>
      <w:r w:rsidRPr="00A17589">
        <w:rPr>
          <w:rFonts w:asciiTheme="minorHAnsi" w:hAnsiTheme="minorHAnsi" w:cstheme="minorHAnsi"/>
        </w:rPr>
        <w:t>The proposed legislation is intended to be a modern, responsible gaming code that recogni</w:t>
      </w:r>
      <w:r>
        <w:rPr>
          <w:rFonts w:asciiTheme="minorHAnsi" w:hAnsiTheme="minorHAnsi" w:cstheme="minorHAnsi"/>
        </w:rPr>
        <w:t>z</w:t>
      </w:r>
      <w:r w:rsidRPr="00A17589">
        <w:rPr>
          <w:rFonts w:asciiTheme="minorHAnsi" w:hAnsiTheme="minorHAnsi" w:cstheme="minorHAnsi"/>
        </w:rPr>
        <w:t xml:space="preserve">es the fact that people enjoy gambling as a form of entertainment.  At the same time, one must acknowledge that there are inherent dangers that need to be addressed in terms of problems resulting from gambling and its effect on vulnerable groups. </w:t>
      </w:r>
    </w:p>
    <w:p w:rsidR="00A17589" w:rsidRPr="00A17589" w:rsidRDefault="00A17589" w:rsidP="00A17589">
      <w:pPr>
        <w:spacing w:line="360" w:lineRule="auto"/>
        <w:jc w:val="both"/>
        <w:rPr>
          <w:rFonts w:asciiTheme="minorHAnsi" w:eastAsia="Calibri" w:hAnsiTheme="minorHAnsi" w:cstheme="minorHAnsi"/>
        </w:rPr>
      </w:pPr>
      <w:r w:rsidRPr="00A17589">
        <w:rPr>
          <w:rFonts w:asciiTheme="minorHAnsi" w:hAnsiTheme="minorHAnsi" w:cstheme="minorHAnsi"/>
        </w:rPr>
        <w:t>Therefore three important standards will be embedded in the new legislation. These are:</w:t>
      </w:r>
    </w:p>
    <w:p w:rsidR="00A17589" w:rsidRPr="00A17589" w:rsidRDefault="00A17589" w:rsidP="00A17589">
      <w:pPr>
        <w:pStyle w:val="ListParagraph"/>
        <w:numPr>
          <w:ilvl w:val="0"/>
          <w:numId w:val="10"/>
        </w:numPr>
        <w:spacing w:line="360" w:lineRule="auto"/>
        <w:jc w:val="both"/>
        <w:rPr>
          <w:rFonts w:eastAsia="Calibri" w:cstheme="minorHAnsi"/>
          <w:sz w:val="24"/>
          <w:szCs w:val="24"/>
        </w:rPr>
      </w:pPr>
      <w:r w:rsidRPr="00A17589">
        <w:rPr>
          <w:rFonts w:cstheme="minorHAnsi"/>
          <w:sz w:val="24"/>
          <w:szCs w:val="24"/>
        </w:rPr>
        <w:t>the vulnerable will be protected,</w:t>
      </w:r>
    </w:p>
    <w:p w:rsidR="00A17589" w:rsidRPr="00A17589" w:rsidRDefault="00A17589" w:rsidP="00A17589">
      <w:pPr>
        <w:pStyle w:val="ListParagraph"/>
        <w:numPr>
          <w:ilvl w:val="0"/>
          <w:numId w:val="10"/>
        </w:numPr>
        <w:spacing w:line="360" w:lineRule="auto"/>
        <w:jc w:val="both"/>
        <w:rPr>
          <w:rFonts w:eastAsia="Calibri" w:cstheme="minorHAnsi"/>
          <w:sz w:val="24"/>
          <w:szCs w:val="24"/>
        </w:rPr>
      </w:pPr>
      <w:r w:rsidRPr="00A17589">
        <w:rPr>
          <w:rFonts w:cstheme="minorHAnsi"/>
          <w:sz w:val="24"/>
          <w:szCs w:val="24"/>
        </w:rPr>
        <w:t>that gambling should, in all respects, be fairly and openly conducted and,</w:t>
      </w:r>
    </w:p>
    <w:p w:rsidR="00A17589" w:rsidRPr="00A17589" w:rsidRDefault="00A17589" w:rsidP="00A17589">
      <w:pPr>
        <w:pStyle w:val="ListParagraph"/>
        <w:numPr>
          <w:ilvl w:val="0"/>
          <w:numId w:val="10"/>
        </w:numPr>
        <w:spacing w:line="360" w:lineRule="auto"/>
        <w:jc w:val="both"/>
        <w:rPr>
          <w:rFonts w:eastAsia="Calibri" w:cstheme="minorHAnsi"/>
          <w:sz w:val="24"/>
          <w:szCs w:val="24"/>
        </w:rPr>
      </w:pPr>
      <w:r w:rsidRPr="00A17589">
        <w:rPr>
          <w:rFonts w:cstheme="minorHAnsi"/>
          <w:sz w:val="24"/>
          <w:szCs w:val="24"/>
        </w:rPr>
        <w:t>its operation must be within the ambit of the law.</w:t>
      </w:r>
    </w:p>
    <w:p w:rsidR="00A17589" w:rsidRPr="00A17589" w:rsidRDefault="00A17589" w:rsidP="00A17589">
      <w:pPr>
        <w:spacing w:before="16" w:line="360" w:lineRule="auto"/>
        <w:jc w:val="both"/>
        <w:rPr>
          <w:rFonts w:asciiTheme="minorHAnsi" w:hAnsiTheme="minorHAnsi" w:cstheme="minorHAnsi"/>
        </w:rPr>
      </w:pPr>
    </w:p>
    <w:p w:rsidR="00A17589" w:rsidRPr="00A17589" w:rsidRDefault="00A17589" w:rsidP="00A17589">
      <w:pPr>
        <w:spacing w:line="360" w:lineRule="auto"/>
        <w:jc w:val="both"/>
        <w:rPr>
          <w:rFonts w:asciiTheme="minorHAnsi" w:hAnsiTheme="minorHAnsi" w:cstheme="minorHAnsi"/>
        </w:rPr>
      </w:pPr>
      <w:r w:rsidRPr="00A17589">
        <w:rPr>
          <w:rFonts w:asciiTheme="minorHAnsi" w:hAnsiTheme="minorHAnsi" w:cstheme="minorHAnsi"/>
        </w:rPr>
        <w:t>The Minister of Finance and the Economy has established a Working Group to consider draft legislation for the legal and regulatory framework for the gaming industry. The proposed Working Group includes representatives from the Ministry of Finance and the Economy, Ministry of Trade and Investment, Ministry of National Security, Ministry of the People and Social Development and the Office of the Attorney General</w:t>
      </w:r>
      <w:r w:rsidRPr="00A17589">
        <w:rPr>
          <w:rFonts w:asciiTheme="minorHAnsi" w:hAnsiTheme="minorHAnsi" w:cstheme="minorHAnsi"/>
          <w:color w:val="231F20"/>
          <w:spacing w:val="-5"/>
          <w:w w:val="125"/>
        </w:rPr>
        <w:t xml:space="preserve">. </w:t>
      </w:r>
    </w:p>
    <w:p w:rsidR="00A17589" w:rsidRPr="00A17589" w:rsidRDefault="00A17589" w:rsidP="00A17589">
      <w:pPr>
        <w:spacing w:line="360" w:lineRule="auto"/>
        <w:jc w:val="both"/>
        <w:rPr>
          <w:rFonts w:asciiTheme="minorHAnsi" w:hAnsiTheme="minorHAnsi" w:cstheme="minorHAnsi"/>
        </w:rPr>
      </w:pPr>
      <w:r w:rsidRPr="00A17589">
        <w:rPr>
          <w:rFonts w:asciiTheme="minorHAnsi" w:hAnsiTheme="minorHAnsi" w:cstheme="minorHAnsi"/>
        </w:rPr>
        <w:t xml:space="preserve">In the interest of openness, transparency, accountability and involvement, focused stakeholders’ consultations have been planned and the services of an internationally-recognized consultant have been sought to provide technical and legal advisory services to the Working Group. </w:t>
      </w:r>
    </w:p>
    <w:p w:rsidR="00A17589" w:rsidRPr="00A17589" w:rsidRDefault="00A17589" w:rsidP="00A17589">
      <w:pPr>
        <w:spacing w:line="360" w:lineRule="auto"/>
        <w:jc w:val="both"/>
        <w:rPr>
          <w:rFonts w:asciiTheme="minorHAnsi" w:hAnsiTheme="minorHAnsi" w:cstheme="minorHAnsi"/>
        </w:rPr>
      </w:pPr>
      <w:r w:rsidRPr="00A17589">
        <w:rPr>
          <w:rFonts w:asciiTheme="minorHAnsi" w:hAnsiTheme="minorHAnsi" w:cstheme="minorHAnsi"/>
        </w:rPr>
        <w:t xml:space="preserve">A Civil Society Group has also been established comprising representatives from relevant social welfare groups, ICATT, the Law Association and the Banking Sector. Consultations will be held with key stakeholder groups from the Gaming Industry which itself has expressed interest in becoming legitimized and governed within an established regulatory environment. The Ministry of Finance and the Economy will seek to establish a relationship with all key stakeholder groups as it encourages harmonization in the overall process which is critical for us in order to achieve our stated objectives.  </w:t>
      </w:r>
    </w:p>
    <w:p w:rsidR="00A17589" w:rsidRPr="00A17589" w:rsidRDefault="00A17589" w:rsidP="00A17589">
      <w:pPr>
        <w:spacing w:line="360" w:lineRule="auto"/>
        <w:jc w:val="both"/>
        <w:rPr>
          <w:rFonts w:asciiTheme="minorHAnsi" w:hAnsiTheme="minorHAnsi" w:cstheme="minorHAnsi"/>
        </w:rPr>
      </w:pPr>
      <w:r w:rsidRPr="00A17589">
        <w:rPr>
          <w:rFonts w:asciiTheme="minorHAnsi" w:hAnsiTheme="minorHAnsi" w:cstheme="minorHAnsi"/>
        </w:rPr>
        <w:lastRenderedPageBreak/>
        <w:t xml:space="preserve">Recommendations emanating from this process will provide the necessary feedback for the implementation of a modern and effective framework for the gambling and gaming industry, while also ensuring that the welfare of all parties involved (directly or indirectly) is properly taken into account. </w:t>
      </w:r>
    </w:p>
    <w:p w:rsidR="00FD06E7" w:rsidRPr="00A17589" w:rsidRDefault="00FD06E7" w:rsidP="008061F9">
      <w:pPr>
        <w:spacing w:line="360" w:lineRule="auto"/>
        <w:rPr>
          <w:rFonts w:asciiTheme="minorHAnsi" w:hAnsiTheme="minorHAnsi" w:cstheme="minorHAnsi"/>
          <w:color w:val="000000"/>
        </w:rPr>
      </w:pPr>
      <w:r w:rsidRPr="00A17589">
        <w:rPr>
          <w:rFonts w:asciiTheme="minorHAnsi" w:hAnsiTheme="minorHAnsi" w:cstheme="minorHAnsi"/>
        </w:rPr>
        <w:tab/>
      </w:r>
      <w:r w:rsidRPr="00A17589">
        <w:rPr>
          <w:rFonts w:asciiTheme="minorHAnsi" w:hAnsiTheme="minorHAnsi" w:cstheme="minorHAnsi"/>
        </w:rPr>
        <w:tab/>
      </w:r>
      <w:r w:rsidRPr="00A17589">
        <w:rPr>
          <w:rFonts w:asciiTheme="minorHAnsi" w:hAnsiTheme="minorHAnsi" w:cstheme="minorHAnsi"/>
        </w:rPr>
        <w:tab/>
      </w:r>
    </w:p>
    <w:p w:rsidR="008061F9" w:rsidRPr="00A17589" w:rsidRDefault="008061F9" w:rsidP="00770926">
      <w:pPr>
        <w:pStyle w:val="BodyText3"/>
        <w:spacing w:after="0" w:line="276" w:lineRule="auto"/>
        <w:jc w:val="center"/>
        <w:rPr>
          <w:rFonts w:asciiTheme="minorHAnsi" w:hAnsiTheme="minorHAnsi" w:cstheme="minorHAnsi"/>
          <w:sz w:val="24"/>
          <w:szCs w:val="24"/>
        </w:rPr>
      </w:pPr>
    </w:p>
    <w:p w:rsidR="00A844BB" w:rsidRPr="00A17589" w:rsidRDefault="001D5F0D" w:rsidP="00770926">
      <w:pPr>
        <w:pStyle w:val="BodyText3"/>
        <w:spacing w:after="0" w:line="276" w:lineRule="auto"/>
        <w:jc w:val="center"/>
        <w:rPr>
          <w:rFonts w:asciiTheme="minorHAnsi" w:hAnsiTheme="minorHAnsi" w:cstheme="minorHAnsi"/>
          <w:sz w:val="24"/>
          <w:szCs w:val="24"/>
        </w:rPr>
      </w:pPr>
      <w:r w:rsidRPr="00A17589">
        <w:rPr>
          <w:rFonts w:asciiTheme="minorHAnsi" w:hAnsiTheme="minorHAnsi" w:cstheme="minorHAnsi"/>
          <w:sz w:val="24"/>
          <w:szCs w:val="24"/>
        </w:rPr>
        <w:t xml:space="preserve">End </w:t>
      </w:r>
    </w:p>
    <w:sectPr w:rsidR="00A844BB" w:rsidRPr="00A17589" w:rsidSect="00D45715">
      <w:footerReference w:type="default" r:id="rId11"/>
      <w:endnotePr>
        <w:numFmt w:val="decimal"/>
      </w:endnotePr>
      <w:pgSz w:w="12240" w:h="15840"/>
      <w:pgMar w:top="1260" w:right="1440" w:bottom="900" w:left="1440" w:header="1440" w:footer="64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4B" w:rsidRDefault="00295B4B">
      <w:r>
        <w:separator/>
      </w:r>
    </w:p>
  </w:endnote>
  <w:endnote w:type="continuationSeparator" w:id="0">
    <w:p w:rsidR="00295B4B" w:rsidRDefault="0029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7A" w:rsidRPr="00A24D34" w:rsidRDefault="0084057A" w:rsidP="00606FB3">
    <w:pPr>
      <w:pStyle w:val="BodyText"/>
      <w:pBdr>
        <w:bottom w:val="single" w:sz="12" w:space="1" w:color="auto"/>
      </w:pBdr>
      <w:rPr>
        <w:rFonts w:ascii="Arial" w:hAnsi="Arial" w:cs="Arial"/>
        <w:i/>
        <w:iCs/>
      </w:rPr>
    </w:pPr>
  </w:p>
  <w:p w:rsidR="00BB7892" w:rsidRDefault="0084057A" w:rsidP="00606FB3">
    <w:pPr>
      <w:pStyle w:val="BodyText"/>
      <w:rPr>
        <w:rFonts w:ascii="Arial" w:hAnsi="Arial" w:cs="Arial"/>
        <w:color w:val="FF0000"/>
        <w:sz w:val="16"/>
      </w:rPr>
    </w:pPr>
    <w:r w:rsidRPr="00A24D34">
      <w:rPr>
        <w:rFonts w:ascii="Arial" w:hAnsi="Arial" w:cs="Arial"/>
        <w:color w:val="FF0000"/>
        <w:sz w:val="16"/>
      </w:rPr>
      <w:t xml:space="preserve">Ministry of Finance, Eric Williams Finance Building, Eric Williams Plaza, Independence Square, Port of Spain </w:t>
    </w:r>
    <w:r w:rsidR="00CA131B">
      <w:rPr>
        <w:rFonts w:ascii="Arial" w:hAnsi="Arial" w:cs="Arial"/>
        <w:color w:val="FF0000"/>
        <w:sz w:val="16"/>
      </w:rPr>
      <w:t>,</w:t>
    </w:r>
    <w:r w:rsidRPr="00A24D34">
      <w:rPr>
        <w:rFonts w:ascii="Arial" w:hAnsi="Arial" w:cs="Arial"/>
        <w:color w:val="FF0000"/>
        <w:sz w:val="16"/>
      </w:rPr>
      <w:t>Trinidad and Tobago, West</w:t>
    </w:r>
    <w:r>
      <w:rPr>
        <w:rFonts w:ascii="Arial" w:hAnsi="Arial" w:cs="Arial"/>
        <w:color w:val="FF0000"/>
        <w:sz w:val="16"/>
      </w:rPr>
      <w:t xml:space="preserve"> </w:t>
    </w:r>
    <w:r w:rsidRPr="00A24D34">
      <w:rPr>
        <w:rFonts w:ascii="Arial" w:hAnsi="Arial" w:cs="Arial"/>
        <w:color w:val="FF0000"/>
        <w:sz w:val="16"/>
      </w:rPr>
      <w:t>Indies</w:t>
    </w:r>
    <w:r w:rsidR="00CA131B">
      <w:rPr>
        <w:rFonts w:ascii="Arial" w:hAnsi="Arial" w:cs="Arial"/>
        <w:color w:val="FF0000"/>
        <w:sz w:val="16"/>
      </w:rPr>
      <w:t>;</w:t>
    </w:r>
    <w:r>
      <w:rPr>
        <w:rFonts w:ascii="Arial" w:hAnsi="Arial" w:cs="Arial"/>
        <w:color w:val="FF0000"/>
        <w:sz w:val="16"/>
      </w:rPr>
      <w:t xml:space="preserve"> </w:t>
    </w:r>
    <w:r w:rsidRPr="00A24D34">
      <w:rPr>
        <w:rFonts w:ascii="Arial" w:hAnsi="Arial" w:cs="Arial"/>
        <w:color w:val="FF0000"/>
        <w:sz w:val="16"/>
      </w:rPr>
      <w:t>Telephone: 1-(868)-627-9700 Ext.</w:t>
    </w:r>
    <w:r w:rsidR="00CA131B">
      <w:rPr>
        <w:rFonts w:ascii="Arial" w:hAnsi="Arial" w:cs="Arial"/>
        <w:color w:val="FF0000"/>
        <w:sz w:val="16"/>
      </w:rPr>
      <w:t xml:space="preserve"> 2805-9;</w:t>
    </w:r>
    <w:r w:rsidRPr="00A24D34">
      <w:rPr>
        <w:rFonts w:ascii="Arial" w:hAnsi="Arial" w:cs="Arial"/>
        <w:color w:val="FF0000"/>
        <w:sz w:val="16"/>
      </w:rPr>
      <w:t xml:space="preserve"> </w:t>
    </w:r>
    <w:r>
      <w:rPr>
        <w:rFonts w:ascii="Arial" w:hAnsi="Arial" w:cs="Arial"/>
        <w:color w:val="FF0000"/>
        <w:sz w:val="16"/>
      </w:rPr>
      <w:t>Facsim</w:t>
    </w:r>
    <w:r w:rsidR="00CA131B">
      <w:rPr>
        <w:rFonts w:ascii="Arial" w:hAnsi="Arial" w:cs="Arial"/>
        <w:color w:val="FF0000"/>
        <w:sz w:val="16"/>
      </w:rPr>
      <w:t>ile: 1-(868)-627-9700 ext. 2810; E-mail:</w:t>
    </w:r>
    <w:r w:rsidR="00BB7892">
      <w:rPr>
        <w:rFonts w:ascii="Arial" w:hAnsi="Arial" w:cs="Arial"/>
        <w:color w:val="FF0000"/>
        <w:sz w:val="16"/>
      </w:rPr>
      <w:t xml:space="preserve">hindsdo@gov.tt </w:t>
    </w:r>
  </w:p>
  <w:p w:rsidR="0084057A" w:rsidRPr="00A24D34" w:rsidRDefault="0084057A" w:rsidP="00606FB3">
    <w:pPr>
      <w:pStyle w:val="BodyText"/>
      <w:rPr>
        <w:rFonts w:ascii="Arial" w:hAnsi="Arial" w:cs="Arial"/>
        <w:color w:val="FF0000"/>
        <w:sz w:val="20"/>
        <w:szCs w:val="20"/>
      </w:rPr>
    </w:pPr>
    <w:r w:rsidRPr="00A24D34">
      <w:rPr>
        <w:rFonts w:ascii="Arial" w:hAnsi="Arial" w:cs="Arial"/>
        <w:color w:val="FF0000"/>
        <w:sz w:val="16"/>
      </w:rPr>
      <w:t xml:space="preserve">Website </w:t>
    </w:r>
    <w:hyperlink r:id="rId1" w:history="1">
      <w:r w:rsidRPr="00A24D34">
        <w:rPr>
          <w:rStyle w:val="Hyperlink"/>
          <w:rFonts w:ascii="Arial" w:hAnsi="Arial" w:cs="Arial"/>
          <w:color w:val="FF0000"/>
          <w:sz w:val="16"/>
        </w:rPr>
        <w:t>www.finance.gov.tt</w:t>
      </w:r>
    </w:hyperlink>
  </w:p>
  <w:p w:rsidR="0084057A" w:rsidRDefault="00840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4B" w:rsidRDefault="00295B4B">
      <w:r>
        <w:separator/>
      </w:r>
    </w:p>
  </w:footnote>
  <w:footnote w:type="continuationSeparator" w:id="0">
    <w:p w:rsidR="00295B4B" w:rsidRDefault="00295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E0E"/>
    <w:multiLevelType w:val="hybridMultilevel"/>
    <w:tmpl w:val="5DC242C6"/>
    <w:lvl w:ilvl="0" w:tplc="0AE6902C">
      <w:start w:val="1"/>
      <w:numFmt w:val="decimal"/>
      <w:lvlText w:val="%1."/>
      <w:lvlJc w:val="left"/>
      <w:pPr>
        <w:ind w:left="644"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nsid w:val="17F67997"/>
    <w:multiLevelType w:val="hybridMultilevel"/>
    <w:tmpl w:val="C7D4941C"/>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2">
    <w:nsid w:val="2A1C2290"/>
    <w:multiLevelType w:val="hybridMultilevel"/>
    <w:tmpl w:val="6364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27466"/>
    <w:multiLevelType w:val="hybridMultilevel"/>
    <w:tmpl w:val="9C82C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722B8B"/>
    <w:multiLevelType w:val="hybridMultilevel"/>
    <w:tmpl w:val="455678F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nsid w:val="52DA2CF5"/>
    <w:multiLevelType w:val="hybridMultilevel"/>
    <w:tmpl w:val="F370A270"/>
    <w:lvl w:ilvl="0" w:tplc="04090005">
      <w:start w:val="1"/>
      <w:numFmt w:val="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3420"/>
        </w:tabs>
        <w:ind w:left="3420" w:hanging="360"/>
      </w:pPr>
      <w:rPr>
        <w:rFonts w:ascii="Courier New" w:hAnsi="Courier New" w:cs="Times New Roman" w:hint="default"/>
      </w:rPr>
    </w:lvl>
    <w:lvl w:ilvl="2" w:tplc="04090005">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rPr>
    </w:lvl>
    <w:lvl w:ilvl="4" w:tplc="04090003">
      <w:start w:val="1"/>
      <w:numFmt w:val="bullet"/>
      <w:lvlText w:val="o"/>
      <w:lvlJc w:val="left"/>
      <w:pPr>
        <w:tabs>
          <w:tab w:val="num" w:pos="5580"/>
        </w:tabs>
        <w:ind w:left="5580" w:hanging="360"/>
      </w:pPr>
      <w:rPr>
        <w:rFonts w:ascii="Courier New" w:hAnsi="Courier New" w:cs="Times New Roman" w:hint="default"/>
      </w:rPr>
    </w:lvl>
    <w:lvl w:ilvl="5" w:tplc="04090005">
      <w:start w:val="1"/>
      <w:numFmt w:val="bullet"/>
      <w:lvlText w:val=""/>
      <w:lvlJc w:val="left"/>
      <w:pPr>
        <w:tabs>
          <w:tab w:val="num" w:pos="6300"/>
        </w:tabs>
        <w:ind w:left="6300" w:hanging="360"/>
      </w:pPr>
      <w:rPr>
        <w:rFonts w:ascii="Wingdings" w:hAnsi="Wingdings" w:hint="default"/>
      </w:rPr>
    </w:lvl>
    <w:lvl w:ilvl="6" w:tplc="04090001">
      <w:start w:val="1"/>
      <w:numFmt w:val="bullet"/>
      <w:lvlText w:val=""/>
      <w:lvlJc w:val="left"/>
      <w:pPr>
        <w:tabs>
          <w:tab w:val="num" w:pos="7020"/>
        </w:tabs>
        <w:ind w:left="7020" w:hanging="360"/>
      </w:pPr>
      <w:rPr>
        <w:rFonts w:ascii="Symbol" w:hAnsi="Symbol" w:hint="default"/>
      </w:rPr>
    </w:lvl>
    <w:lvl w:ilvl="7" w:tplc="04090003">
      <w:start w:val="1"/>
      <w:numFmt w:val="bullet"/>
      <w:lvlText w:val="o"/>
      <w:lvlJc w:val="left"/>
      <w:pPr>
        <w:tabs>
          <w:tab w:val="num" w:pos="7740"/>
        </w:tabs>
        <w:ind w:left="7740" w:hanging="360"/>
      </w:pPr>
      <w:rPr>
        <w:rFonts w:ascii="Courier New" w:hAnsi="Courier New" w:cs="Times New Roman" w:hint="default"/>
      </w:rPr>
    </w:lvl>
    <w:lvl w:ilvl="8" w:tplc="04090005">
      <w:start w:val="1"/>
      <w:numFmt w:val="bullet"/>
      <w:lvlText w:val=""/>
      <w:lvlJc w:val="left"/>
      <w:pPr>
        <w:tabs>
          <w:tab w:val="num" w:pos="8460"/>
        </w:tabs>
        <w:ind w:left="8460" w:hanging="360"/>
      </w:pPr>
      <w:rPr>
        <w:rFonts w:ascii="Wingdings" w:hAnsi="Wingdings" w:hint="default"/>
      </w:rPr>
    </w:lvl>
  </w:abstractNum>
  <w:abstractNum w:abstractNumId="6">
    <w:nsid w:val="5D542D5E"/>
    <w:multiLevelType w:val="hybridMultilevel"/>
    <w:tmpl w:val="6518D6DE"/>
    <w:lvl w:ilvl="0" w:tplc="37BA6196">
      <w:start w:val="1"/>
      <w:numFmt w:val="decimal"/>
      <w:lvlText w:val="%1."/>
      <w:lvlJc w:val="left"/>
      <w:pPr>
        <w:tabs>
          <w:tab w:val="num" w:pos="735"/>
        </w:tabs>
        <w:ind w:left="735" w:hanging="360"/>
      </w:pPr>
      <w:rPr>
        <w:rFonts w:hint="default"/>
      </w:rPr>
    </w:lvl>
    <w:lvl w:ilvl="1" w:tplc="04090005">
      <w:start w:val="1"/>
      <w:numFmt w:val="bullet"/>
      <w:lvlText w:val=""/>
      <w:lvlJc w:val="left"/>
      <w:pPr>
        <w:tabs>
          <w:tab w:val="num" w:pos="1350"/>
        </w:tabs>
        <w:ind w:left="1350" w:hanging="360"/>
      </w:pPr>
      <w:rPr>
        <w:rFonts w:ascii="Wingdings" w:hAnsi="Wingding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7">
    <w:nsid w:val="5FC84F7A"/>
    <w:multiLevelType w:val="hybridMultilevel"/>
    <w:tmpl w:val="91F84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BA39CB"/>
    <w:multiLevelType w:val="hybridMultilevel"/>
    <w:tmpl w:val="3E6AC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A021D0"/>
    <w:multiLevelType w:val="hybridMultilevel"/>
    <w:tmpl w:val="E2E2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2"/>
  </w:num>
  <w:num w:numId="5">
    <w:abstractNumId w:val="6"/>
  </w:num>
  <w:num w:numId="6">
    <w:abstractNumId w:val="0"/>
  </w:num>
  <w:num w:numId="7">
    <w:abstractNumId w:val="5"/>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B"/>
    <w:rsid w:val="00003B63"/>
    <w:rsid w:val="000062D0"/>
    <w:rsid w:val="00016979"/>
    <w:rsid w:val="00023C90"/>
    <w:rsid w:val="00026CA2"/>
    <w:rsid w:val="0004352D"/>
    <w:rsid w:val="000436F0"/>
    <w:rsid w:val="000452DE"/>
    <w:rsid w:val="00045C70"/>
    <w:rsid w:val="000A2709"/>
    <w:rsid w:val="000B1D30"/>
    <w:rsid w:val="000B457E"/>
    <w:rsid w:val="000B622F"/>
    <w:rsid w:val="000B6F3E"/>
    <w:rsid w:val="000B720A"/>
    <w:rsid w:val="000D1D39"/>
    <w:rsid w:val="000D40EC"/>
    <w:rsid w:val="000E1BC7"/>
    <w:rsid w:val="000F2D7F"/>
    <w:rsid w:val="00103ADA"/>
    <w:rsid w:val="00110B32"/>
    <w:rsid w:val="0011493E"/>
    <w:rsid w:val="001277CB"/>
    <w:rsid w:val="00130B66"/>
    <w:rsid w:val="00142A91"/>
    <w:rsid w:val="00147F6D"/>
    <w:rsid w:val="00164455"/>
    <w:rsid w:val="0016792F"/>
    <w:rsid w:val="001721C7"/>
    <w:rsid w:val="00173DB9"/>
    <w:rsid w:val="00175710"/>
    <w:rsid w:val="00176410"/>
    <w:rsid w:val="0017652B"/>
    <w:rsid w:val="001779D7"/>
    <w:rsid w:val="00180173"/>
    <w:rsid w:val="00193FF9"/>
    <w:rsid w:val="001A66EC"/>
    <w:rsid w:val="001B0F45"/>
    <w:rsid w:val="001B70A7"/>
    <w:rsid w:val="001C29F4"/>
    <w:rsid w:val="001C2C05"/>
    <w:rsid w:val="001C4DBC"/>
    <w:rsid w:val="001D5F0D"/>
    <w:rsid w:val="001D71D6"/>
    <w:rsid w:val="001F0F45"/>
    <w:rsid w:val="001F322C"/>
    <w:rsid w:val="001F3CC9"/>
    <w:rsid w:val="001F44EF"/>
    <w:rsid w:val="00204DBB"/>
    <w:rsid w:val="002078D2"/>
    <w:rsid w:val="00215C23"/>
    <w:rsid w:val="00220BA5"/>
    <w:rsid w:val="0023525D"/>
    <w:rsid w:val="00236EBC"/>
    <w:rsid w:val="00245425"/>
    <w:rsid w:val="002517EF"/>
    <w:rsid w:val="002523C3"/>
    <w:rsid w:val="002678B7"/>
    <w:rsid w:val="002708CE"/>
    <w:rsid w:val="002722F6"/>
    <w:rsid w:val="002829B2"/>
    <w:rsid w:val="002832E2"/>
    <w:rsid w:val="002907FD"/>
    <w:rsid w:val="00291F35"/>
    <w:rsid w:val="00295B4B"/>
    <w:rsid w:val="0029672E"/>
    <w:rsid w:val="002A3520"/>
    <w:rsid w:val="002A4056"/>
    <w:rsid w:val="002A7057"/>
    <w:rsid w:val="002B0F6A"/>
    <w:rsid w:val="002B3126"/>
    <w:rsid w:val="002B3718"/>
    <w:rsid w:val="002B37B3"/>
    <w:rsid w:val="002B65A9"/>
    <w:rsid w:val="002C4D2B"/>
    <w:rsid w:val="002D460D"/>
    <w:rsid w:val="00303439"/>
    <w:rsid w:val="00313FAB"/>
    <w:rsid w:val="00317E11"/>
    <w:rsid w:val="00317FC0"/>
    <w:rsid w:val="00327563"/>
    <w:rsid w:val="00335679"/>
    <w:rsid w:val="0033760E"/>
    <w:rsid w:val="00340382"/>
    <w:rsid w:val="0035748C"/>
    <w:rsid w:val="003667D5"/>
    <w:rsid w:val="003A1240"/>
    <w:rsid w:val="003A1FD3"/>
    <w:rsid w:val="003A43F2"/>
    <w:rsid w:val="003B2E37"/>
    <w:rsid w:val="003C178D"/>
    <w:rsid w:val="003C1AA0"/>
    <w:rsid w:val="003C2618"/>
    <w:rsid w:val="003C5119"/>
    <w:rsid w:val="003C7BB4"/>
    <w:rsid w:val="003D36D2"/>
    <w:rsid w:val="003D381F"/>
    <w:rsid w:val="003F46E5"/>
    <w:rsid w:val="003F78DA"/>
    <w:rsid w:val="004247FF"/>
    <w:rsid w:val="0043626F"/>
    <w:rsid w:val="00437DB5"/>
    <w:rsid w:val="004460AA"/>
    <w:rsid w:val="00453195"/>
    <w:rsid w:val="00477F05"/>
    <w:rsid w:val="004A07AD"/>
    <w:rsid w:val="004A13C2"/>
    <w:rsid w:val="004A33DD"/>
    <w:rsid w:val="004A7438"/>
    <w:rsid w:val="004C3024"/>
    <w:rsid w:val="004C4323"/>
    <w:rsid w:val="004C7CE0"/>
    <w:rsid w:val="004D4D91"/>
    <w:rsid w:val="004D6574"/>
    <w:rsid w:val="004E44A9"/>
    <w:rsid w:val="004E4683"/>
    <w:rsid w:val="004E68E0"/>
    <w:rsid w:val="00503056"/>
    <w:rsid w:val="00511CAA"/>
    <w:rsid w:val="0051402E"/>
    <w:rsid w:val="00517E20"/>
    <w:rsid w:val="00532F80"/>
    <w:rsid w:val="0054272D"/>
    <w:rsid w:val="00553D51"/>
    <w:rsid w:val="00554EC6"/>
    <w:rsid w:val="00561E96"/>
    <w:rsid w:val="00562CA1"/>
    <w:rsid w:val="00563879"/>
    <w:rsid w:val="005651CA"/>
    <w:rsid w:val="005774C2"/>
    <w:rsid w:val="00585C3A"/>
    <w:rsid w:val="00591DAA"/>
    <w:rsid w:val="005A32C8"/>
    <w:rsid w:val="005B0A9A"/>
    <w:rsid w:val="005B6C08"/>
    <w:rsid w:val="005C15AB"/>
    <w:rsid w:val="005C7272"/>
    <w:rsid w:val="005D4C54"/>
    <w:rsid w:val="005D6F7B"/>
    <w:rsid w:val="005E4780"/>
    <w:rsid w:val="005F77AF"/>
    <w:rsid w:val="00606FB3"/>
    <w:rsid w:val="00610FB5"/>
    <w:rsid w:val="00652DF5"/>
    <w:rsid w:val="00653F1E"/>
    <w:rsid w:val="0065488E"/>
    <w:rsid w:val="00654D24"/>
    <w:rsid w:val="00671548"/>
    <w:rsid w:val="006725E7"/>
    <w:rsid w:val="006730F9"/>
    <w:rsid w:val="006B46A4"/>
    <w:rsid w:val="006B71A9"/>
    <w:rsid w:val="006C1A66"/>
    <w:rsid w:val="006C44C9"/>
    <w:rsid w:val="006D144B"/>
    <w:rsid w:val="006D27FB"/>
    <w:rsid w:val="006E6E9E"/>
    <w:rsid w:val="006F2583"/>
    <w:rsid w:val="00710C03"/>
    <w:rsid w:val="007233B9"/>
    <w:rsid w:val="00753891"/>
    <w:rsid w:val="00770926"/>
    <w:rsid w:val="00770D52"/>
    <w:rsid w:val="00773A00"/>
    <w:rsid w:val="00776A8C"/>
    <w:rsid w:val="00781FC4"/>
    <w:rsid w:val="00782088"/>
    <w:rsid w:val="00795E2E"/>
    <w:rsid w:val="007973FF"/>
    <w:rsid w:val="007B4447"/>
    <w:rsid w:val="007B5DBF"/>
    <w:rsid w:val="007C59D4"/>
    <w:rsid w:val="007C6724"/>
    <w:rsid w:val="007D2982"/>
    <w:rsid w:val="007D54FD"/>
    <w:rsid w:val="007D6D10"/>
    <w:rsid w:val="007E0E9D"/>
    <w:rsid w:val="007E25B3"/>
    <w:rsid w:val="007E62D6"/>
    <w:rsid w:val="007F7258"/>
    <w:rsid w:val="008061F9"/>
    <w:rsid w:val="0081465D"/>
    <w:rsid w:val="00827288"/>
    <w:rsid w:val="00827BC3"/>
    <w:rsid w:val="00832F21"/>
    <w:rsid w:val="00835A6A"/>
    <w:rsid w:val="0084057A"/>
    <w:rsid w:val="00852399"/>
    <w:rsid w:val="00861C48"/>
    <w:rsid w:val="00870E6C"/>
    <w:rsid w:val="008776CD"/>
    <w:rsid w:val="0088252C"/>
    <w:rsid w:val="008843E7"/>
    <w:rsid w:val="008850A6"/>
    <w:rsid w:val="008858B1"/>
    <w:rsid w:val="008867F4"/>
    <w:rsid w:val="00887EBB"/>
    <w:rsid w:val="00893321"/>
    <w:rsid w:val="008967D7"/>
    <w:rsid w:val="00896E5B"/>
    <w:rsid w:val="008A245E"/>
    <w:rsid w:val="008A45C0"/>
    <w:rsid w:val="008B383F"/>
    <w:rsid w:val="008B769E"/>
    <w:rsid w:val="008D1034"/>
    <w:rsid w:val="008D5131"/>
    <w:rsid w:val="008E55DC"/>
    <w:rsid w:val="008E6A82"/>
    <w:rsid w:val="008F0273"/>
    <w:rsid w:val="008F6497"/>
    <w:rsid w:val="00900A33"/>
    <w:rsid w:val="00904632"/>
    <w:rsid w:val="00904955"/>
    <w:rsid w:val="00914883"/>
    <w:rsid w:val="00914A2C"/>
    <w:rsid w:val="00917B27"/>
    <w:rsid w:val="009230AB"/>
    <w:rsid w:val="00943318"/>
    <w:rsid w:val="00950C3C"/>
    <w:rsid w:val="009521DA"/>
    <w:rsid w:val="009527F1"/>
    <w:rsid w:val="00953C06"/>
    <w:rsid w:val="009654F4"/>
    <w:rsid w:val="00972877"/>
    <w:rsid w:val="009742BD"/>
    <w:rsid w:val="00981785"/>
    <w:rsid w:val="00983555"/>
    <w:rsid w:val="00992B46"/>
    <w:rsid w:val="009950C9"/>
    <w:rsid w:val="00996AB1"/>
    <w:rsid w:val="009A74C5"/>
    <w:rsid w:val="009B2BAD"/>
    <w:rsid w:val="009B7BF1"/>
    <w:rsid w:val="009C0F34"/>
    <w:rsid w:val="009D4FB8"/>
    <w:rsid w:val="009D59A2"/>
    <w:rsid w:val="009D5D4B"/>
    <w:rsid w:val="009E0CDE"/>
    <w:rsid w:val="009E6EEC"/>
    <w:rsid w:val="009F2165"/>
    <w:rsid w:val="00A06D2A"/>
    <w:rsid w:val="00A17589"/>
    <w:rsid w:val="00A24D34"/>
    <w:rsid w:val="00A312FA"/>
    <w:rsid w:val="00A32AFD"/>
    <w:rsid w:val="00A33B47"/>
    <w:rsid w:val="00A36AA9"/>
    <w:rsid w:val="00A44BC7"/>
    <w:rsid w:val="00A523A2"/>
    <w:rsid w:val="00A5367E"/>
    <w:rsid w:val="00A537FF"/>
    <w:rsid w:val="00A55CC4"/>
    <w:rsid w:val="00A55CD3"/>
    <w:rsid w:val="00A57C9E"/>
    <w:rsid w:val="00A60B9C"/>
    <w:rsid w:val="00A83A96"/>
    <w:rsid w:val="00A844BB"/>
    <w:rsid w:val="00A907AE"/>
    <w:rsid w:val="00AA790B"/>
    <w:rsid w:val="00AB237C"/>
    <w:rsid w:val="00AD5000"/>
    <w:rsid w:val="00AD613A"/>
    <w:rsid w:val="00AF131C"/>
    <w:rsid w:val="00B244C5"/>
    <w:rsid w:val="00B2502F"/>
    <w:rsid w:val="00B32DD3"/>
    <w:rsid w:val="00B342F5"/>
    <w:rsid w:val="00B35BBB"/>
    <w:rsid w:val="00B54AF9"/>
    <w:rsid w:val="00B611C2"/>
    <w:rsid w:val="00B66F1C"/>
    <w:rsid w:val="00B74AD0"/>
    <w:rsid w:val="00B8564C"/>
    <w:rsid w:val="00B95250"/>
    <w:rsid w:val="00BA26EE"/>
    <w:rsid w:val="00BA2D92"/>
    <w:rsid w:val="00BA3172"/>
    <w:rsid w:val="00BA7564"/>
    <w:rsid w:val="00BB7892"/>
    <w:rsid w:val="00BC2253"/>
    <w:rsid w:val="00BC4C33"/>
    <w:rsid w:val="00BD547D"/>
    <w:rsid w:val="00BF12D6"/>
    <w:rsid w:val="00BF73F7"/>
    <w:rsid w:val="00BF756F"/>
    <w:rsid w:val="00C0341C"/>
    <w:rsid w:val="00C04D36"/>
    <w:rsid w:val="00C207A4"/>
    <w:rsid w:val="00C31409"/>
    <w:rsid w:val="00C317EF"/>
    <w:rsid w:val="00C3358D"/>
    <w:rsid w:val="00C40527"/>
    <w:rsid w:val="00C44634"/>
    <w:rsid w:val="00C61772"/>
    <w:rsid w:val="00C824B7"/>
    <w:rsid w:val="00C914AA"/>
    <w:rsid w:val="00C952F3"/>
    <w:rsid w:val="00CA0B0C"/>
    <w:rsid w:val="00CA131B"/>
    <w:rsid w:val="00CB0526"/>
    <w:rsid w:val="00CB3480"/>
    <w:rsid w:val="00CB3D0C"/>
    <w:rsid w:val="00CB747C"/>
    <w:rsid w:val="00CF2037"/>
    <w:rsid w:val="00CF42D0"/>
    <w:rsid w:val="00D14058"/>
    <w:rsid w:val="00D1564B"/>
    <w:rsid w:val="00D16E3D"/>
    <w:rsid w:val="00D31F18"/>
    <w:rsid w:val="00D322DC"/>
    <w:rsid w:val="00D45715"/>
    <w:rsid w:val="00D6428E"/>
    <w:rsid w:val="00D86AB5"/>
    <w:rsid w:val="00D877D6"/>
    <w:rsid w:val="00D965EE"/>
    <w:rsid w:val="00DA0102"/>
    <w:rsid w:val="00DA56B6"/>
    <w:rsid w:val="00DC3842"/>
    <w:rsid w:val="00DC6090"/>
    <w:rsid w:val="00DD5B38"/>
    <w:rsid w:val="00DD5D28"/>
    <w:rsid w:val="00DE267F"/>
    <w:rsid w:val="00DE4550"/>
    <w:rsid w:val="00E06318"/>
    <w:rsid w:val="00E124E0"/>
    <w:rsid w:val="00E23892"/>
    <w:rsid w:val="00E241BB"/>
    <w:rsid w:val="00E27550"/>
    <w:rsid w:val="00E35721"/>
    <w:rsid w:val="00E4469D"/>
    <w:rsid w:val="00E45A46"/>
    <w:rsid w:val="00E46114"/>
    <w:rsid w:val="00E5617C"/>
    <w:rsid w:val="00E56D84"/>
    <w:rsid w:val="00E609CF"/>
    <w:rsid w:val="00E629F9"/>
    <w:rsid w:val="00E64AD3"/>
    <w:rsid w:val="00E6507D"/>
    <w:rsid w:val="00E70335"/>
    <w:rsid w:val="00E971F0"/>
    <w:rsid w:val="00EA0960"/>
    <w:rsid w:val="00EA49B3"/>
    <w:rsid w:val="00EB1A60"/>
    <w:rsid w:val="00EB231B"/>
    <w:rsid w:val="00EB50E3"/>
    <w:rsid w:val="00EB6FDD"/>
    <w:rsid w:val="00ED0E97"/>
    <w:rsid w:val="00ED4AD8"/>
    <w:rsid w:val="00ED7D2F"/>
    <w:rsid w:val="00EE2E06"/>
    <w:rsid w:val="00EE64B6"/>
    <w:rsid w:val="00EF11EA"/>
    <w:rsid w:val="00EF58E4"/>
    <w:rsid w:val="00EF66B6"/>
    <w:rsid w:val="00F16072"/>
    <w:rsid w:val="00F1615F"/>
    <w:rsid w:val="00F163EF"/>
    <w:rsid w:val="00F23DD5"/>
    <w:rsid w:val="00F47B3C"/>
    <w:rsid w:val="00F51172"/>
    <w:rsid w:val="00F62B8A"/>
    <w:rsid w:val="00F6451C"/>
    <w:rsid w:val="00F70F93"/>
    <w:rsid w:val="00F77247"/>
    <w:rsid w:val="00F95E87"/>
    <w:rsid w:val="00FA140D"/>
    <w:rsid w:val="00FA1853"/>
    <w:rsid w:val="00FA5C48"/>
    <w:rsid w:val="00FB590C"/>
    <w:rsid w:val="00FC6640"/>
    <w:rsid w:val="00FD00C6"/>
    <w:rsid w:val="00FD06E7"/>
    <w:rsid w:val="00FD0B28"/>
    <w:rsid w:val="00FD44F1"/>
    <w:rsid w:val="00FE7FD0"/>
    <w:rsid w:val="00FF036C"/>
    <w:rsid w:val="00FF37C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7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77CB"/>
    <w:rPr>
      <w:color w:val="0000FF"/>
      <w:u w:val="single"/>
    </w:rPr>
  </w:style>
  <w:style w:type="paragraph" w:styleId="Caption">
    <w:name w:val="caption"/>
    <w:basedOn w:val="Normal"/>
    <w:next w:val="Normal"/>
    <w:qFormat/>
    <w:rsid w:val="001277CB"/>
    <w:pPr>
      <w:widowControl w:val="0"/>
      <w:autoSpaceDE w:val="0"/>
      <w:autoSpaceDN w:val="0"/>
      <w:adjustRightInd w:val="0"/>
      <w:jc w:val="right"/>
    </w:pPr>
    <w:rPr>
      <w:b/>
      <w:bCs/>
    </w:rPr>
  </w:style>
  <w:style w:type="paragraph" w:styleId="BodyText">
    <w:name w:val="Body Text"/>
    <w:basedOn w:val="Normal"/>
    <w:rsid w:val="001277CB"/>
    <w:pPr>
      <w:jc w:val="both"/>
    </w:pPr>
  </w:style>
  <w:style w:type="paragraph" w:styleId="BalloonText">
    <w:name w:val="Balloon Text"/>
    <w:basedOn w:val="Normal"/>
    <w:semiHidden/>
    <w:rsid w:val="009D59A2"/>
    <w:rPr>
      <w:rFonts w:ascii="Tahoma" w:hAnsi="Tahoma" w:cs="Tahoma"/>
      <w:sz w:val="16"/>
      <w:szCs w:val="16"/>
    </w:rPr>
  </w:style>
  <w:style w:type="paragraph" w:styleId="Header">
    <w:name w:val="header"/>
    <w:basedOn w:val="Normal"/>
    <w:rsid w:val="00606FB3"/>
    <w:pPr>
      <w:tabs>
        <w:tab w:val="center" w:pos="4320"/>
        <w:tab w:val="right" w:pos="8640"/>
      </w:tabs>
    </w:pPr>
  </w:style>
  <w:style w:type="paragraph" w:styleId="Footer">
    <w:name w:val="footer"/>
    <w:basedOn w:val="Normal"/>
    <w:rsid w:val="00606FB3"/>
    <w:pPr>
      <w:tabs>
        <w:tab w:val="center" w:pos="4320"/>
        <w:tab w:val="right" w:pos="8640"/>
      </w:tabs>
    </w:pPr>
  </w:style>
  <w:style w:type="paragraph" w:customStyle="1" w:styleId="ReferenceInitials">
    <w:name w:val="Reference Initials"/>
    <w:basedOn w:val="Normal"/>
    <w:next w:val="Normal"/>
    <w:rsid w:val="009C0F34"/>
    <w:pPr>
      <w:keepNext/>
      <w:spacing w:before="220" w:line="240" w:lineRule="atLeast"/>
    </w:pPr>
    <w:rPr>
      <w:rFonts w:ascii="Georgia" w:hAnsi="Georgia"/>
      <w:kern w:val="18"/>
    </w:rPr>
  </w:style>
  <w:style w:type="paragraph" w:customStyle="1" w:styleId="SignatureJobTitle">
    <w:name w:val="Signature Job Title"/>
    <w:basedOn w:val="Signature"/>
    <w:next w:val="Normal"/>
    <w:rsid w:val="009C0F34"/>
    <w:pPr>
      <w:keepNext/>
      <w:spacing w:line="240" w:lineRule="atLeast"/>
      <w:ind w:left="0"/>
    </w:pPr>
    <w:rPr>
      <w:rFonts w:ascii="Georgia" w:hAnsi="Georgia"/>
      <w:kern w:val="18"/>
    </w:rPr>
  </w:style>
  <w:style w:type="paragraph" w:customStyle="1" w:styleId="SubjectLine">
    <w:name w:val="Subject Line"/>
    <w:basedOn w:val="Normal"/>
    <w:next w:val="BodyText"/>
    <w:rsid w:val="009C0F34"/>
    <w:pPr>
      <w:spacing w:after="180" w:line="240" w:lineRule="atLeast"/>
      <w:ind w:left="360" w:hanging="360"/>
      <w:jc w:val="center"/>
    </w:pPr>
    <w:rPr>
      <w:rFonts w:ascii="Century Gothic" w:hAnsi="Century Gothic"/>
      <w:b/>
      <w:caps/>
      <w:kern w:val="18"/>
      <w:sz w:val="22"/>
    </w:rPr>
  </w:style>
  <w:style w:type="paragraph" w:styleId="Signature">
    <w:name w:val="Signature"/>
    <w:basedOn w:val="Normal"/>
    <w:rsid w:val="009C0F34"/>
    <w:pPr>
      <w:ind w:left="4320"/>
    </w:pPr>
  </w:style>
  <w:style w:type="paragraph" w:styleId="ListParagraph">
    <w:name w:val="List Paragraph"/>
    <w:basedOn w:val="Normal"/>
    <w:uiPriority w:val="34"/>
    <w:qFormat/>
    <w:rsid w:val="00591DA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0631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AB237C"/>
    <w:rPr>
      <w:sz w:val="16"/>
      <w:szCs w:val="16"/>
    </w:rPr>
  </w:style>
  <w:style w:type="paragraph" w:styleId="CommentText">
    <w:name w:val="annotation text"/>
    <w:basedOn w:val="Normal"/>
    <w:link w:val="CommentTextChar"/>
    <w:rsid w:val="00AB237C"/>
    <w:rPr>
      <w:sz w:val="20"/>
      <w:szCs w:val="20"/>
    </w:rPr>
  </w:style>
  <w:style w:type="character" w:customStyle="1" w:styleId="CommentTextChar">
    <w:name w:val="Comment Text Char"/>
    <w:basedOn w:val="DefaultParagraphFont"/>
    <w:link w:val="CommentText"/>
    <w:rsid w:val="00AB237C"/>
  </w:style>
  <w:style w:type="paragraph" w:styleId="BodyTextIndent3">
    <w:name w:val="Body Text Indent 3"/>
    <w:basedOn w:val="Normal"/>
    <w:link w:val="BodyTextIndent3Char"/>
    <w:rsid w:val="00904955"/>
    <w:pPr>
      <w:spacing w:after="120"/>
      <w:ind w:left="360"/>
    </w:pPr>
    <w:rPr>
      <w:sz w:val="16"/>
      <w:szCs w:val="16"/>
    </w:rPr>
  </w:style>
  <w:style w:type="character" w:customStyle="1" w:styleId="BodyTextIndent3Char">
    <w:name w:val="Body Text Indent 3 Char"/>
    <w:basedOn w:val="DefaultParagraphFont"/>
    <w:link w:val="BodyTextIndent3"/>
    <w:rsid w:val="00904955"/>
    <w:rPr>
      <w:sz w:val="16"/>
      <w:szCs w:val="16"/>
    </w:rPr>
  </w:style>
  <w:style w:type="paragraph" w:styleId="BodyText3">
    <w:name w:val="Body Text 3"/>
    <w:basedOn w:val="Normal"/>
    <w:link w:val="BodyText3Char"/>
    <w:rsid w:val="007D54FD"/>
    <w:pPr>
      <w:spacing w:after="120"/>
    </w:pPr>
    <w:rPr>
      <w:sz w:val="16"/>
      <w:szCs w:val="16"/>
    </w:rPr>
  </w:style>
  <w:style w:type="character" w:customStyle="1" w:styleId="BodyText3Char">
    <w:name w:val="Body Text 3 Char"/>
    <w:basedOn w:val="DefaultParagraphFont"/>
    <w:link w:val="BodyText3"/>
    <w:rsid w:val="007D54FD"/>
    <w:rPr>
      <w:sz w:val="16"/>
      <w:szCs w:val="16"/>
    </w:rPr>
  </w:style>
  <w:style w:type="paragraph" w:styleId="NoSpacing">
    <w:name w:val="No Spacing"/>
    <w:uiPriority w:val="1"/>
    <w:qFormat/>
    <w:rsid w:val="00A844B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7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77CB"/>
    <w:rPr>
      <w:color w:val="0000FF"/>
      <w:u w:val="single"/>
    </w:rPr>
  </w:style>
  <w:style w:type="paragraph" w:styleId="Caption">
    <w:name w:val="caption"/>
    <w:basedOn w:val="Normal"/>
    <w:next w:val="Normal"/>
    <w:qFormat/>
    <w:rsid w:val="001277CB"/>
    <w:pPr>
      <w:widowControl w:val="0"/>
      <w:autoSpaceDE w:val="0"/>
      <w:autoSpaceDN w:val="0"/>
      <w:adjustRightInd w:val="0"/>
      <w:jc w:val="right"/>
    </w:pPr>
    <w:rPr>
      <w:b/>
      <w:bCs/>
    </w:rPr>
  </w:style>
  <w:style w:type="paragraph" w:styleId="BodyText">
    <w:name w:val="Body Text"/>
    <w:basedOn w:val="Normal"/>
    <w:rsid w:val="001277CB"/>
    <w:pPr>
      <w:jc w:val="both"/>
    </w:pPr>
  </w:style>
  <w:style w:type="paragraph" w:styleId="BalloonText">
    <w:name w:val="Balloon Text"/>
    <w:basedOn w:val="Normal"/>
    <w:semiHidden/>
    <w:rsid w:val="009D59A2"/>
    <w:rPr>
      <w:rFonts w:ascii="Tahoma" w:hAnsi="Tahoma" w:cs="Tahoma"/>
      <w:sz w:val="16"/>
      <w:szCs w:val="16"/>
    </w:rPr>
  </w:style>
  <w:style w:type="paragraph" w:styleId="Header">
    <w:name w:val="header"/>
    <w:basedOn w:val="Normal"/>
    <w:rsid w:val="00606FB3"/>
    <w:pPr>
      <w:tabs>
        <w:tab w:val="center" w:pos="4320"/>
        <w:tab w:val="right" w:pos="8640"/>
      </w:tabs>
    </w:pPr>
  </w:style>
  <w:style w:type="paragraph" w:styleId="Footer">
    <w:name w:val="footer"/>
    <w:basedOn w:val="Normal"/>
    <w:rsid w:val="00606FB3"/>
    <w:pPr>
      <w:tabs>
        <w:tab w:val="center" w:pos="4320"/>
        <w:tab w:val="right" w:pos="8640"/>
      </w:tabs>
    </w:pPr>
  </w:style>
  <w:style w:type="paragraph" w:customStyle="1" w:styleId="ReferenceInitials">
    <w:name w:val="Reference Initials"/>
    <w:basedOn w:val="Normal"/>
    <w:next w:val="Normal"/>
    <w:rsid w:val="009C0F34"/>
    <w:pPr>
      <w:keepNext/>
      <w:spacing w:before="220" w:line="240" w:lineRule="atLeast"/>
    </w:pPr>
    <w:rPr>
      <w:rFonts w:ascii="Georgia" w:hAnsi="Georgia"/>
      <w:kern w:val="18"/>
    </w:rPr>
  </w:style>
  <w:style w:type="paragraph" w:customStyle="1" w:styleId="SignatureJobTitle">
    <w:name w:val="Signature Job Title"/>
    <w:basedOn w:val="Signature"/>
    <w:next w:val="Normal"/>
    <w:rsid w:val="009C0F34"/>
    <w:pPr>
      <w:keepNext/>
      <w:spacing w:line="240" w:lineRule="atLeast"/>
      <w:ind w:left="0"/>
    </w:pPr>
    <w:rPr>
      <w:rFonts w:ascii="Georgia" w:hAnsi="Georgia"/>
      <w:kern w:val="18"/>
    </w:rPr>
  </w:style>
  <w:style w:type="paragraph" w:customStyle="1" w:styleId="SubjectLine">
    <w:name w:val="Subject Line"/>
    <w:basedOn w:val="Normal"/>
    <w:next w:val="BodyText"/>
    <w:rsid w:val="009C0F34"/>
    <w:pPr>
      <w:spacing w:after="180" w:line="240" w:lineRule="atLeast"/>
      <w:ind w:left="360" w:hanging="360"/>
      <w:jc w:val="center"/>
    </w:pPr>
    <w:rPr>
      <w:rFonts w:ascii="Century Gothic" w:hAnsi="Century Gothic"/>
      <w:b/>
      <w:caps/>
      <w:kern w:val="18"/>
      <w:sz w:val="22"/>
    </w:rPr>
  </w:style>
  <w:style w:type="paragraph" w:styleId="Signature">
    <w:name w:val="Signature"/>
    <w:basedOn w:val="Normal"/>
    <w:rsid w:val="009C0F34"/>
    <w:pPr>
      <w:ind w:left="4320"/>
    </w:pPr>
  </w:style>
  <w:style w:type="paragraph" w:styleId="ListParagraph">
    <w:name w:val="List Paragraph"/>
    <w:basedOn w:val="Normal"/>
    <w:uiPriority w:val="34"/>
    <w:qFormat/>
    <w:rsid w:val="00591DA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0631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AB237C"/>
    <w:rPr>
      <w:sz w:val="16"/>
      <w:szCs w:val="16"/>
    </w:rPr>
  </w:style>
  <w:style w:type="paragraph" w:styleId="CommentText">
    <w:name w:val="annotation text"/>
    <w:basedOn w:val="Normal"/>
    <w:link w:val="CommentTextChar"/>
    <w:rsid w:val="00AB237C"/>
    <w:rPr>
      <w:sz w:val="20"/>
      <w:szCs w:val="20"/>
    </w:rPr>
  </w:style>
  <w:style w:type="character" w:customStyle="1" w:styleId="CommentTextChar">
    <w:name w:val="Comment Text Char"/>
    <w:basedOn w:val="DefaultParagraphFont"/>
    <w:link w:val="CommentText"/>
    <w:rsid w:val="00AB237C"/>
  </w:style>
  <w:style w:type="paragraph" w:styleId="BodyTextIndent3">
    <w:name w:val="Body Text Indent 3"/>
    <w:basedOn w:val="Normal"/>
    <w:link w:val="BodyTextIndent3Char"/>
    <w:rsid w:val="00904955"/>
    <w:pPr>
      <w:spacing w:after="120"/>
      <w:ind w:left="360"/>
    </w:pPr>
    <w:rPr>
      <w:sz w:val="16"/>
      <w:szCs w:val="16"/>
    </w:rPr>
  </w:style>
  <w:style w:type="character" w:customStyle="1" w:styleId="BodyTextIndent3Char">
    <w:name w:val="Body Text Indent 3 Char"/>
    <w:basedOn w:val="DefaultParagraphFont"/>
    <w:link w:val="BodyTextIndent3"/>
    <w:rsid w:val="00904955"/>
    <w:rPr>
      <w:sz w:val="16"/>
      <w:szCs w:val="16"/>
    </w:rPr>
  </w:style>
  <w:style w:type="paragraph" w:styleId="BodyText3">
    <w:name w:val="Body Text 3"/>
    <w:basedOn w:val="Normal"/>
    <w:link w:val="BodyText3Char"/>
    <w:rsid w:val="007D54FD"/>
    <w:pPr>
      <w:spacing w:after="120"/>
    </w:pPr>
    <w:rPr>
      <w:sz w:val="16"/>
      <w:szCs w:val="16"/>
    </w:rPr>
  </w:style>
  <w:style w:type="character" w:customStyle="1" w:styleId="BodyText3Char">
    <w:name w:val="Body Text 3 Char"/>
    <w:basedOn w:val="DefaultParagraphFont"/>
    <w:link w:val="BodyText3"/>
    <w:rsid w:val="007D54FD"/>
    <w:rPr>
      <w:sz w:val="16"/>
      <w:szCs w:val="16"/>
    </w:rPr>
  </w:style>
  <w:style w:type="paragraph" w:styleId="NoSpacing">
    <w:name w:val="No Spacing"/>
    <w:uiPriority w:val="1"/>
    <w:qFormat/>
    <w:rsid w:val="00A844B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0673">
      <w:bodyDiv w:val="1"/>
      <w:marLeft w:val="0"/>
      <w:marRight w:val="0"/>
      <w:marTop w:val="0"/>
      <w:marBottom w:val="0"/>
      <w:divBdr>
        <w:top w:val="none" w:sz="0" w:space="0" w:color="auto"/>
        <w:left w:val="none" w:sz="0" w:space="0" w:color="auto"/>
        <w:bottom w:val="none" w:sz="0" w:space="0" w:color="auto"/>
        <w:right w:val="none" w:sz="0" w:space="0" w:color="auto"/>
      </w:divBdr>
    </w:div>
    <w:div w:id="292250322">
      <w:bodyDiv w:val="1"/>
      <w:marLeft w:val="0"/>
      <w:marRight w:val="0"/>
      <w:marTop w:val="0"/>
      <w:marBottom w:val="0"/>
      <w:divBdr>
        <w:top w:val="none" w:sz="0" w:space="0" w:color="auto"/>
        <w:left w:val="none" w:sz="0" w:space="0" w:color="auto"/>
        <w:bottom w:val="none" w:sz="0" w:space="0" w:color="auto"/>
        <w:right w:val="none" w:sz="0" w:space="0" w:color="auto"/>
      </w:divBdr>
    </w:div>
    <w:div w:id="389620006">
      <w:bodyDiv w:val="1"/>
      <w:marLeft w:val="0"/>
      <w:marRight w:val="0"/>
      <w:marTop w:val="0"/>
      <w:marBottom w:val="0"/>
      <w:divBdr>
        <w:top w:val="none" w:sz="0" w:space="0" w:color="auto"/>
        <w:left w:val="none" w:sz="0" w:space="0" w:color="auto"/>
        <w:bottom w:val="none" w:sz="0" w:space="0" w:color="auto"/>
        <w:right w:val="none" w:sz="0" w:space="0" w:color="auto"/>
      </w:divBdr>
    </w:div>
    <w:div w:id="652149839">
      <w:bodyDiv w:val="1"/>
      <w:marLeft w:val="0"/>
      <w:marRight w:val="0"/>
      <w:marTop w:val="0"/>
      <w:marBottom w:val="0"/>
      <w:divBdr>
        <w:top w:val="none" w:sz="0" w:space="0" w:color="auto"/>
        <w:left w:val="none" w:sz="0" w:space="0" w:color="auto"/>
        <w:bottom w:val="none" w:sz="0" w:space="0" w:color="auto"/>
        <w:right w:val="none" w:sz="0" w:space="0" w:color="auto"/>
      </w:divBdr>
    </w:div>
    <w:div w:id="844825890">
      <w:bodyDiv w:val="1"/>
      <w:marLeft w:val="0"/>
      <w:marRight w:val="0"/>
      <w:marTop w:val="0"/>
      <w:marBottom w:val="0"/>
      <w:divBdr>
        <w:top w:val="none" w:sz="0" w:space="0" w:color="auto"/>
        <w:left w:val="none" w:sz="0" w:space="0" w:color="auto"/>
        <w:bottom w:val="none" w:sz="0" w:space="0" w:color="auto"/>
        <w:right w:val="none" w:sz="0" w:space="0" w:color="auto"/>
      </w:divBdr>
    </w:div>
    <w:div w:id="1061292908">
      <w:bodyDiv w:val="1"/>
      <w:marLeft w:val="0"/>
      <w:marRight w:val="0"/>
      <w:marTop w:val="0"/>
      <w:marBottom w:val="0"/>
      <w:divBdr>
        <w:top w:val="none" w:sz="0" w:space="0" w:color="auto"/>
        <w:left w:val="none" w:sz="0" w:space="0" w:color="auto"/>
        <w:bottom w:val="none" w:sz="0" w:space="0" w:color="auto"/>
        <w:right w:val="none" w:sz="0" w:space="0" w:color="auto"/>
      </w:divBdr>
    </w:div>
    <w:div w:id="1239906681">
      <w:bodyDiv w:val="1"/>
      <w:marLeft w:val="0"/>
      <w:marRight w:val="0"/>
      <w:marTop w:val="0"/>
      <w:marBottom w:val="0"/>
      <w:divBdr>
        <w:top w:val="none" w:sz="0" w:space="0" w:color="auto"/>
        <w:left w:val="none" w:sz="0" w:space="0" w:color="auto"/>
        <w:bottom w:val="none" w:sz="0" w:space="0" w:color="auto"/>
        <w:right w:val="none" w:sz="0" w:space="0" w:color="auto"/>
      </w:divBdr>
    </w:div>
    <w:div w:id="1464151901">
      <w:bodyDiv w:val="1"/>
      <w:marLeft w:val="0"/>
      <w:marRight w:val="0"/>
      <w:marTop w:val="0"/>
      <w:marBottom w:val="0"/>
      <w:divBdr>
        <w:top w:val="none" w:sz="0" w:space="0" w:color="auto"/>
        <w:left w:val="none" w:sz="0" w:space="0" w:color="auto"/>
        <w:bottom w:val="none" w:sz="0" w:space="0" w:color="auto"/>
        <w:right w:val="none" w:sz="0" w:space="0" w:color="auto"/>
      </w:divBdr>
    </w:div>
    <w:div w:id="1477334776">
      <w:bodyDiv w:val="1"/>
      <w:marLeft w:val="0"/>
      <w:marRight w:val="0"/>
      <w:marTop w:val="0"/>
      <w:marBottom w:val="0"/>
      <w:divBdr>
        <w:top w:val="none" w:sz="0" w:space="0" w:color="auto"/>
        <w:left w:val="none" w:sz="0" w:space="0" w:color="auto"/>
        <w:bottom w:val="none" w:sz="0" w:space="0" w:color="auto"/>
        <w:right w:val="none" w:sz="0" w:space="0" w:color="auto"/>
      </w:divBdr>
    </w:div>
    <w:div w:id="1594822521">
      <w:bodyDiv w:val="1"/>
      <w:marLeft w:val="0"/>
      <w:marRight w:val="0"/>
      <w:marTop w:val="0"/>
      <w:marBottom w:val="0"/>
      <w:divBdr>
        <w:top w:val="none" w:sz="0" w:space="0" w:color="auto"/>
        <w:left w:val="none" w:sz="0" w:space="0" w:color="auto"/>
        <w:bottom w:val="none" w:sz="0" w:space="0" w:color="auto"/>
        <w:right w:val="none" w:sz="0" w:space="0" w:color="auto"/>
      </w:divBdr>
    </w:div>
    <w:div w:id="1648120715">
      <w:bodyDiv w:val="1"/>
      <w:marLeft w:val="0"/>
      <w:marRight w:val="0"/>
      <w:marTop w:val="0"/>
      <w:marBottom w:val="0"/>
      <w:divBdr>
        <w:top w:val="none" w:sz="0" w:space="0" w:color="auto"/>
        <w:left w:val="none" w:sz="0" w:space="0" w:color="auto"/>
        <w:bottom w:val="none" w:sz="0" w:space="0" w:color="auto"/>
        <w:right w:val="none" w:sz="0" w:space="0" w:color="auto"/>
      </w:divBdr>
    </w:div>
    <w:div w:id="17594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file:///D:\My%20Documents\Public%20Service%20Week\Coat%20of%20Arms.gi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finance.gov.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C5B9-D367-43C9-8B87-291D4FE7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T&amp;T</Company>
  <LinksUpToDate>false</LinksUpToDate>
  <CharactersWithSpaces>3931</CharactersWithSpaces>
  <SharedDoc>false</SharedDoc>
  <HLinks>
    <vt:vector size="12" baseType="variant">
      <vt:variant>
        <vt:i4>6422560</vt:i4>
      </vt:variant>
      <vt:variant>
        <vt:i4>0</vt:i4>
      </vt:variant>
      <vt:variant>
        <vt:i4>0</vt:i4>
      </vt:variant>
      <vt:variant>
        <vt:i4>5</vt:i4>
      </vt:variant>
      <vt:variant>
        <vt:lpwstr>http://www.finance.gov.tt/</vt:lpwstr>
      </vt:variant>
      <vt:variant>
        <vt:lpwstr/>
      </vt:variant>
      <vt:variant>
        <vt:i4>5046332</vt:i4>
      </vt:variant>
      <vt:variant>
        <vt:i4>-1</vt:i4>
      </vt:variant>
      <vt:variant>
        <vt:i4>1026</vt:i4>
      </vt:variant>
      <vt:variant>
        <vt:i4>1</vt:i4>
      </vt:variant>
      <vt:variant>
        <vt:lpwstr>D:\My Documents\Public Service Week\Coat of Arms.gif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smallk</dc:creator>
  <cp:lastModifiedBy>hindsdo</cp:lastModifiedBy>
  <cp:revision>2</cp:revision>
  <cp:lastPrinted>2013-08-13T13:01:00Z</cp:lastPrinted>
  <dcterms:created xsi:type="dcterms:W3CDTF">2013-08-13T16:43:00Z</dcterms:created>
  <dcterms:modified xsi:type="dcterms:W3CDTF">2013-08-13T16:43:00Z</dcterms:modified>
</cp:coreProperties>
</file>